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03" w:rsidRDefault="00311D03" w:rsidP="00311D03">
      <w:pPr>
        <w:pStyle w:val="p00"/>
        <w:bidi/>
        <w:spacing w:before="72" w:beforeAutospacing="0" w:after="0" w:afterAutospacing="0"/>
        <w:ind w:right="1134"/>
        <w:rPr>
          <w:rStyle w:val="big-number"/>
          <w:rFonts w:ascii="David" w:hAnsi="David" w:cs="David"/>
          <w:sz w:val="24"/>
          <w:szCs w:val="24"/>
        </w:rPr>
      </w:pPr>
      <w:proofErr w:type="spellStart"/>
      <w:r>
        <w:rPr>
          <w:rStyle w:val="big-number"/>
          <w:rFonts w:ascii="David" w:hAnsi="David" w:cs="David"/>
          <w:sz w:val="24"/>
          <w:szCs w:val="24"/>
          <w:rtl/>
        </w:rPr>
        <w:t>אוכמה</w:t>
      </w:r>
      <w:proofErr w:type="spellEnd"/>
      <w:r>
        <w:rPr>
          <w:rStyle w:val="big-number"/>
          <w:rFonts w:ascii="David" w:hAnsi="David" w:cs="David"/>
          <w:sz w:val="24"/>
          <w:szCs w:val="24"/>
          <w:rtl/>
        </w:rPr>
        <w:t xml:space="preserve"> שלום,</w:t>
      </w:r>
    </w:p>
    <w:p w:rsidR="00311D03" w:rsidRDefault="00311D03" w:rsidP="00311D03">
      <w:pPr>
        <w:pStyle w:val="p00"/>
        <w:bidi/>
        <w:spacing w:before="72" w:beforeAutospacing="0" w:after="0" w:afterAutospacing="0"/>
        <w:ind w:right="1134"/>
        <w:rPr>
          <w:rStyle w:val="big-number"/>
          <w:rFonts w:ascii="David" w:hAnsi="David" w:cs="David"/>
          <w:sz w:val="24"/>
          <w:szCs w:val="24"/>
        </w:rPr>
      </w:pPr>
      <w:r>
        <w:rPr>
          <w:rStyle w:val="big-number"/>
          <w:rFonts w:ascii="David" w:hAnsi="David" w:cs="David"/>
          <w:sz w:val="24"/>
          <w:szCs w:val="24"/>
          <w:rtl/>
        </w:rPr>
        <w:t xml:space="preserve">בהמשך לשיחתנו, </w:t>
      </w:r>
      <w:proofErr w:type="spellStart"/>
      <w:r>
        <w:rPr>
          <w:rStyle w:val="big-number"/>
          <w:rFonts w:ascii="David" w:hAnsi="David" w:cs="David"/>
          <w:sz w:val="24"/>
          <w:szCs w:val="24"/>
          <w:rtl/>
        </w:rPr>
        <w:t>לענין</w:t>
      </w:r>
      <w:proofErr w:type="spellEnd"/>
      <w:r>
        <w:rPr>
          <w:rStyle w:val="big-number"/>
          <w:rFonts w:ascii="David" w:hAnsi="David" w:cs="David"/>
          <w:sz w:val="24"/>
          <w:szCs w:val="24"/>
          <w:rtl/>
        </w:rPr>
        <w:t xml:space="preserve"> עיקרי הדברים:</w:t>
      </w:r>
    </w:p>
    <w:p w:rsidR="00311D03" w:rsidRDefault="00311D03" w:rsidP="00311D03">
      <w:pPr>
        <w:pStyle w:val="p00"/>
        <w:numPr>
          <w:ilvl w:val="0"/>
          <w:numId w:val="1"/>
        </w:numPr>
        <w:bidi/>
        <w:spacing w:before="72" w:beforeAutospacing="0" w:after="0" w:afterAutospacing="0"/>
        <w:ind w:right="1134"/>
        <w:rPr>
          <w:rStyle w:val="big-number"/>
          <w:rFonts w:ascii="David" w:hAnsi="David" w:cs="David"/>
          <w:b/>
          <w:bCs/>
          <w:sz w:val="27"/>
          <w:szCs w:val="27"/>
          <w:rtl/>
        </w:rPr>
      </w:pPr>
      <w:r>
        <w:rPr>
          <w:rStyle w:val="big-number"/>
          <w:rFonts w:ascii="David" w:eastAsia="Times New Roman" w:hAnsi="David" w:cs="David"/>
          <w:sz w:val="24"/>
          <w:szCs w:val="24"/>
          <w:rtl/>
        </w:rPr>
        <w:t xml:space="preserve">ראשית, יצירות מהסוג המדובר מוגנות בזכויות יוצרים גם כאשר הן מועלות </w:t>
      </w:r>
      <w:proofErr w:type="spellStart"/>
      <w:r>
        <w:rPr>
          <w:rStyle w:val="big-number"/>
          <w:rFonts w:ascii="David" w:eastAsia="Times New Roman" w:hAnsi="David" w:cs="David"/>
          <w:sz w:val="24"/>
          <w:szCs w:val="24"/>
          <w:rtl/>
        </w:rPr>
        <w:t>ליוטיוב</w:t>
      </w:r>
      <w:proofErr w:type="spellEnd"/>
      <w:r>
        <w:rPr>
          <w:rStyle w:val="big-number"/>
          <w:rFonts w:ascii="David" w:eastAsia="Times New Roman" w:hAnsi="David" w:cs="David"/>
          <w:sz w:val="24"/>
          <w:szCs w:val="24"/>
          <w:rtl/>
        </w:rPr>
        <w:t>. גם שם נדרשת הגנה על זכויות יוצרים ולמעשה זו פלטפורמה טובה לתביעות.</w:t>
      </w:r>
    </w:p>
    <w:p w:rsidR="00311D03" w:rsidRDefault="00311D03" w:rsidP="00311D03">
      <w:pPr>
        <w:pStyle w:val="p00"/>
        <w:numPr>
          <w:ilvl w:val="0"/>
          <w:numId w:val="1"/>
        </w:numPr>
        <w:bidi/>
        <w:spacing w:before="72" w:beforeAutospacing="0" w:after="0" w:afterAutospacing="0"/>
        <w:ind w:right="1134"/>
        <w:rPr>
          <w:rStyle w:val="big-number"/>
          <w:sz w:val="24"/>
          <w:szCs w:val="24"/>
          <w:rtl/>
        </w:rPr>
      </w:pPr>
      <w:r>
        <w:rPr>
          <w:rStyle w:val="big-number"/>
          <w:rFonts w:ascii="David" w:eastAsia="Times New Roman" w:hAnsi="David" w:cs="David"/>
          <w:sz w:val="24"/>
          <w:szCs w:val="24"/>
          <w:rtl/>
        </w:rPr>
        <w:t xml:space="preserve">בהתאם לחוק זכויות יוצרים, זכות יוצרים ביצירה תהא למשך חייו של היוצר </w:t>
      </w:r>
      <w:r>
        <w:rPr>
          <w:rStyle w:val="big-number"/>
          <w:rFonts w:ascii="David" w:eastAsia="Times New Roman" w:hAnsi="David" w:cs="David"/>
          <w:b/>
          <w:bCs/>
          <w:sz w:val="24"/>
          <w:szCs w:val="24"/>
          <w:rtl/>
        </w:rPr>
        <w:t>וכן שבעים שנים לאחר מותו.</w:t>
      </w:r>
      <w:r>
        <w:rPr>
          <w:rStyle w:val="big-number"/>
          <w:rFonts w:ascii="David" w:eastAsia="Times New Roman" w:hAnsi="David" w:cs="David"/>
          <w:sz w:val="24"/>
          <w:szCs w:val="24"/>
          <w:rtl/>
        </w:rPr>
        <w:t xml:space="preserve"> לכן, החשש ביחס ליצירות שמסרת לארכיון הסרטים קיים.</w:t>
      </w:r>
    </w:p>
    <w:p w:rsidR="00311D03" w:rsidRDefault="00311D03" w:rsidP="00311D03">
      <w:pPr>
        <w:pStyle w:val="p00"/>
        <w:numPr>
          <w:ilvl w:val="0"/>
          <w:numId w:val="1"/>
        </w:numPr>
        <w:bidi/>
        <w:spacing w:before="72" w:beforeAutospacing="0" w:after="0" w:afterAutospacing="0"/>
        <w:ind w:right="1134"/>
        <w:rPr>
          <w:rStyle w:val="big-number"/>
          <w:rFonts w:ascii="David" w:hAnsi="David" w:cs="David"/>
          <w:sz w:val="24"/>
          <w:szCs w:val="24"/>
        </w:rPr>
      </w:pPr>
      <w:r>
        <w:rPr>
          <w:rStyle w:val="big-number"/>
          <w:rFonts w:ascii="David" w:eastAsia="Times New Roman" w:hAnsi="David" w:cs="David"/>
          <w:sz w:val="24"/>
          <w:szCs w:val="24"/>
          <w:rtl/>
        </w:rPr>
        <w:t>ככל ומדובר ביצירה יתומה- הרי שהשימוש בה מותר בהתאם לתנאי החוק, ראי להלן סעיף 27א לחוק-</w:t>
      </w:r>
    </w:p>
    <w:p w:rsidR="00311D03" w:rsidRDefault="00311D03" w:rsidP="00311D03">
      <w:pPr>
        <w:pStyle w:val="p00"/>
        <w:bidi/>
        <w:spacing w:before="72" w:beforeAutospacing="0" w:after="0" w:afterAutospacing="0"/>
        <w:ind w:left="1440" w:right="1134"/>
        <w:rPr>
          <w:color w:val="000000"/>
          <w:sz w:val="20"/>
          <w:szCs w:val="20"/>
        </w:rPr>
      </w:pPr>
      <w:r>
        <w:rPr>
          <w:rStyle w:val="big-number"/>
          <w:rFonts w:ascii="Times New Roman" w:hAnsi="Times New Roman" w:cs="Times New Roman"/>
          <w:b/>
          <w:bCs/>
          <w:color w:val="008000"/>
          <w:sz w:val="27"/>
          <w:szCs w:val="27"/>
          <w:rtl/>
        </w:rPr>
        <w:t>"יצירות שבעל זכות היוצרים בהן אינו ידוע או לא אותר (תיקון מס' 5) תשע"ט-2019</w:t>
      </w:r>
    </w:p>
    <w:p w:rsidR="00311D03" w:rsidRDefault="00311D03" w:rsidP="00311D03">
      <w:pPr>
        <w:pStyle w:val="p00"/>
        <w:bidi/>
        <w:spacing w:before="72" w:beforeAutospacing="0" w:after="0" w:afterAutospacing="0"/>
        <w:ind w:left="1440" w:right="1134"/>
        <w:jc w:val="both"/>
        <w:rPr>
          <w:rFonts w:ascii="Times New Roman" w:hAnsi="Times New Roman" w:cs="Times New Roman"/>
          <w:color w:val="000000"/>
          <w:sz w:val="20"/>
          <w:szCs w:val="20"/>
        </w:rPr>
      </w:pPr>
      <w:r>
        <w:rPr>
          <w:rStyle w:val="big-number"/>
          <w:rFonts w:ascii="Miriam" w:hAnsi="Miriam" w:cs="Miriam"/>
          <w:color w:val="000000"/>
          <w:sz w:val="32"/>
          <w:szCs w:val="32"/>
          <w:rtl/>
        </w:rPr>
        <w:t>27</w:t>
      </w:r>
      <w:r>
        <w:rPr>
          <w:rStyle w:val="big-number"/>
          <w:rFonts w:ascii="FrankRuehl" w:hAnsi="FrankRuehl" w:cs="FrankRuehl"/>
          <w:color w:val="000000"/>
          <w:sz w:val="26"/>
          <w:szCs w:val="26"/>
          <w:rtl/>
        </w:rPr>
        <w:t>א.  (א)  שימוש ביצירה שבעל זכות היוצרים בה אינו ידוע או לא אותר, מותר בתנאים אלה:</w:t>
      </w:r>
    </w:p>
    <w:p w:rsidR="00311D03" w:rsidRDefault="00311D03" w:rsidP="00311D03">
      <w:pPr>
        <w:pStyle w:val="p00"/>
        <w:bidi/>
        <w:spacing w:before="72" w:beforeAutospacing="0" w:after="0" w:afterAutospacing="0"/>
        <w:ind w:left="2461"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(1)   המשתמש פעל בשקידה סבירה לגילוי או לאיתור בעל זכות היוצרים ביצירה, לפי העניין, לפני השימוש;</w:t>
      </w:r>
    </w:p>
    <w:p w:rsidR="00311D03" w:rsidRDefault="00311D03" w:rsidP="00311D03">
      <w:pPr>
        <w:pStyle w:val="p00"/>
        <w:bidi/>
        <w:spacing w:before="72" w:beforeAutospacing="0" w:after="0" w:afterAutospacing="0"/>
        <w:ind w:left="2461" w:right="1134"/>
        <w:jc w:val="both"/>
        <w:rPr>
          <w:rFonts w:ascii="Times New Roman" w:hAnsi="Times New Roman" w:cs="Times New Roman"/>
          <w:color w:val="000000"/>
          <w:sz w:val="20"/>
          <w:szCs w:val="20"/>
        </w:rPr>
      </w:pPr>
      <w:r>
        <w:rPr>
          <w:rStyle w:val="default"/>
          <w:rFonts w:ascii="FrankRuehl" w:hAnsi="FrankRuehl" w:cs="FrankRuehl"/>
          <w:color w:val="000000"/>
          <w:sz w:val="26"/>
          <w:szCs w:val="26"/>
          <w:rtl/>
        </w:rPr>
        <w:t>(2)   המשתמש ציין באופן ברור באותה דרך שבה הוא עושה שימוש ביצירה, כי השימוש נעשה על פי סעיף זה וכי בעל זכות יוצרים זכאי לבקש שהמשתמש יחדל מהשימוש וכן פרטים ליצירת קשר עמו;</w:t>
      </w:r>
    </w:p>
    <w:p w:rsidR="00311D03" w:rsidRDefault="00311D03" w:rsidP="00311D03">
      <w:pPr>
        <w:pStyle w:val="p00"/>
        <w:bidi/>
        <w:spacing w:before="72" w:beforeAutospacing="0" w:after="0" w:afterAutospacing="0"/>
        <w:ind w:left="2461"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(3)   המשתמש הפסיק את השימוש או קיבל רישיון לשימוש עתידי לאחר שקיבל הודעה מבעל זכות היוצרים.</w:t>
      </w:r>
    </w:p>
    <w:p w:rsidR="00311D03" w:rsidRDefault="00311D03" w:rsidP="00311D03">
      <w:pPr>
        <w:pStyle w:val="p00"/>
        <w:bidi/>
        <w:spacing w:before="72" w:beforeAutospacing="0" w:after="0" w:afterAutospacing="0"/>
        <w:ind w:left="1440"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          (ב)  היה השימוש ביצירה כאמור בסעיף קטן (א) מסחרי, יחולו הוראות אלה נוסף על האמור באותו סעיף קטן:</w:t>
      </w:r>
    </w:p>
    <w:p w:rsidR="00311D03" w:rsidRDefault="00311D03" w:rsidP="00311D03">
      <w:pPr>
        <w:pStyle w:val="p00"/>
        <w:bidi/>
        <w:spacing w:before="72" w:beforeAutospacing="0" w:after="0" w:afterAutospacing="0"/>
        <w:ind w:left="2461"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(1)   המשתמש פרסם הודעה באינטרנט או בעיתון יומי זמן סביר לפני השימוש;</w:t>
      </w:r>
    </w:p>
    <w:p w:rsidR="00311D03" w:rsidRDefault="00311D03" w:rsidP="00311D03">
      <w:pPr>
        <w:pStyle w:val="p00"/>
        <w:bidi/>
        <w:spacing w:before="72" w:beforeAutospacing="0" w:after="0" w:afterAutospacing="0"/>
        <w:ind w:left="2461"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(2)   המשתמש שילם לבעל זכות היוצרים תמלוג ראוי לאחר שקיבל הודעה מבעל זכות היוצרים; תמלוג ראוי כאמור ישולם בעד התקופה שתחילתה במועד תחילת השימוש ביצירה.</w:t>
      </w:r>
    </w:p>
    <w:p w:rsidR="00311D03" w:rsidRDefault="00311D03" w:rsidP="00311D03">
      <w:pPr>
        <w:pStyle w:val="p00"/>
        <w:bidi/>
        <w:spacing w:before="72" w:beforeAutospacing="0" w:after="0" w:afterAutospacing="0"/>
        <w:ind w:left="1440"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          (ג)   שקידה סבירה תיבחן בין השאר בהתחשב באופי היצירה ובמועד יצירתה.</w:t>
      </w:r>
    </w:p>
    <w:p w:rsidR="00311D03" w:rsidRDefault="00311D03" w:rsidP="00311D03">
      <w:pPr>
        <w:pStyle w:val="p00"/>
        <w:bidi/>
        <w:spacing w:before="72" w:beforeAutospacing="0" w:after="0" w:afterAutospacing="0"/>
        <w:ind w:left="1440"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          (ד)  השר רשאי לקבוע בתקנות פעולות שייחשבו שקידה סבירה ופרטים ליצירת קשר כאמור בסעיף קטן (א)(2).</w:t>
      </w:r>
    </w:p>
    <w:p w:rsidR="00311D03" w:rsidRDefault="00311D03" w:rsidP="00311D03">
      <w:pPr>
        <w:pStyle w:val="p00"/>
        <w:bidi/>
        <w:spacing w:before="72" w:beforeAutospacing="0" w:after="0" w:afterAutospacing="0"/>
        <w:ind w:left="1440"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          (ה)  אין בהוראות סעיף זה כדי לגרוע מסמכויות האפוטרופוס הכללי לפי חוק האפוטרופוס הכללי, התשל"ח-1978.</w:t>
      </w:r>
      <w:r>
        <w:rPr>
          <w:rFonts w:ascii="Times New Roman" w:hAnsi="Times New Roman" w:cs="Times New Roman"/>
          <w:color w:val="000000"/>
          <w:sz w:val="20"/>
          <w:szCs w:val="20"/>
          <w:rtl/>
        </w:rPr>
        <w:t>"</w:t>
      </w:r>
    </w:p>
    <w:p w:rsidR="00311D03" w:rsidRDefault="00311D03" w:rsidP="00311D03">
      <w:pPr>
        <w:pStyle w:val="p00"/>
        <w:numPr>
          <w:ilvl w:val="0"/>
          <w:numId w:val="1"/>
        </w:numPr>
        <w:bidi/>
        <w:spacing w:before="72" w:beforeAutospacing="0" w:after="0" w:afterAutospacing="0"/>
        <w:ind w:right="1134"/>
        <w:rPr>
          <w:rStyle w:val="big-number"/>
          <w:rFonts w:ascii="David" w:hAnsi="David" w:cs="David"/>
          <w:sz w:val="24"/>
          <w:szCs w:val="24"/>
          <w:rtl/>
        </w:rPr>
      </w:pPr>
      <w:r>
        <w:rPr>
          <w:rStyle w:val="big-number"/>
          <w:rFonts w:ascii="David" w:eastAsia="Times New Roman" w:hAnsi="David" w:cs="David"/>
          <w:sz w:val="24"/>
          <w:szCs w:val="24"/>
          <w:rtl/>
        </w:rPr>
        <w:t>לגבי שימושים מותרים בארכיונים- ראי סעיף 30 לחוק</w:t>
      </w:r>
    </w:p>
    <w:p w:rsidR="00311D03" w:rsidRDefault="00311D03" w:rsidP="00311D03">
      <w:pPr>
        <w:pStyle w:val="p00"/>
        <w:bidi/>
        <w:spacing w:before="72" w:beforeAutospacing="0" w:after="0" w:afterAutospacing="0"/>
        <w:ind w:left="1440" w:right="1134"/>
        <w:rPr>
          <w:rFonts w:ascii="Times New Roman" w:hAnsi="Times New Roman" w:cs="Times New Roman"/>
          <w:color w:val="000000"/>
          <w:sz w:val="20"/>
          <w:szCs w:val="20"/>
          <w:rtl/>
        </w:rPr>
      </w:pPr>
      <w:r>
        <w:rPr>
          <w:rStyle w:val="big-number"/>
          <w:rFonts w:ascii="Times New Roman" w:hAnsi="Times New Roman" w:cs="Times New Roman"/>
          <w:b/>
          <w:bCs/>
          <w:color w:val="008000"/>
          <w:sz w:val="27"/>
          <w:szCs w:val="27"/>
          <w:rtl/>
        </w:rPr>
        <w:t>שימושים מותרים בספריות, בארכיונים ובגופים אחרים</w:t>
      </w:r>
    </w:p>
    <w:p w:rsidR="00311D03" w:rsidRDefault="00311D03" w:rsidP="00311D03">
      <w:pPr>
        <w:pStyle w:val="p00"/>
        <w:bidi/>
        <w:spacing w:before="72" w:beforeAutospacing="0" w:after="0" w:afterAutospacing="0"/>
        <w:ind w:left="1440" w:right="1134"/>
        <w:jc w:val="both"/>
        <w:rPr>
          <w:rFonts w:ascii="Times New Roman" w:hAnsi="Times New Roman" w:cs="Times New Roman"/>
          <w:color w:val="000000"/>
          <w:sz w:val="20"/>
          <w:szCs w:val="20"/>
          <w:rtl/>
        </w:rPr>
      </w:pPr>
      <w:r>
        <w:rPr>
          <w:rStyle w:val="big-number"/>
          <w:rFonts w:ascii="Miriam" w:hAnsi="Miriam" w:cs="Miriam"/>
          <w:color w:val="000000"/>
          <w:sz w:val="32"/>
          <w:szCs w:val="32"/>
          <w:rtl/>
        </w:rPr>
        <w:t>30</w:t>
      </w:r>
      <w:r>
        <w:rPr>
          <w:rStyle w:val="big-number"/>
          <w:rFonts w:ascii="FrankRuehl" w:hAnsi="FrankRuehl" w:cs="FrankRuehl"/>
          <w:color w:val="000000"/>
          <w:sz w:val="26"/>
          <w:szCs w:val="26"/>
          <w:rtl/>
        </w:rPr>
        <w:t>.    (א)  </w:t>
      </w:r>
      <w:r>
        <w:rPr>
          <w:rStyle w:val="default"/>
          <w:rFonts w:ascii="FrankRuehl" w:hAnsi="FrankRuehl" w:cs="FrankRuehl"/>
          <w:color w:val="000000"/>
          <w:sz w:val="26"/>
          <w:szCs w:val="26"/>
          <w:rtl/>
        </w:rPr>
        <w:t>העתקה של יצירה, שעותק ממנה מצוי באוסף הקבוע של ספריה או של ארכיון, מסוג שקבע השר, מותרת למטרות אלה, ובלבד שלא ניתן לרכוש עותק נוסף של היצירה בתוך פרק זמן סביר ובתנאים סבירים:</w:t>
      </w:r>
    </w:p>
    <w:p w:rsidR="00311D03" w:rsidRDefault="00311D03" w:rsidP="00311D03">
      <w:pPr>
        <w:pStyle w:val="p00"/>
        <w:bidi/>
        <w:spacing w:before="72" w:beforeAutospacing="0" w:after="0" w:afterAutospacing="0"/>
        <w:ind w:left="2461"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 xml:space="preserve">(1)   שימור, בכל דרך שהיא, של יצירה שעותק ממנה מצוי בידי </w:t>
      </w:r>
      <w:proofErr w:type="spellStart"/>
      <w:r>
        <w:rPr>
          <w:rStyle w:val="default"/>
          <w:rFonts w:ascii="FrankRuehl" w:hAnsi="FrankRuehl" w:cs="FrankRuehl"/>
          <w:color w:val="000000"/>
          <w:sz w:val="26"/>
          <w:szCs w:val="26"/>
          <w:rtl/>
        </w:rPr>
        <w:t>הספריה</w:t>
      </w:r>
      <w:proofErr w:type="spellEnd"/>
      <w:r>
        <w:rPr>
          <w:rStyle w:val="default"/>
          <w:rFonts w:ascii="FrankRuehl" w:hAnsi="FrankRuehl" w:cs="FrankRuehl"/>
          <w:color w:val="000000"/>
          <w:sz w:val="26"/>
          <w:szCs w:val="26"/>
          <w:rtl/>
        </w:rPr>
        <w:t xml:space="preserve"> או הארכיון, ובלבד שלא ייעשה בעותק לשימור שימוש כעותק נוסף על העותקים שבספריה;</w:t>
      </w:r>
    </w:p>
    <w:p w:rsidR="00311D03" w:rsidRDefault="00311D03" w:rsidP="00311D03">
      <w:pPr>
        <w:pStyle w:val="p00"/>
        <w:bidi/>
        <w:spacing w:before="72" w:beforeAutospacing="0" w:after="0" w:afterAutospacing="0"/>
        <w:ind w:left="2461" w:right="1134"/>
        <w:jc w:val="both"/>
        <w:rPr>
          <w:rFonts w:ascii="Times New Roman" w:hAnsi="Times New Roman" w:cs="Times New Roman"/>
          <w:color w:val="000000"/>
          <w:sz w:val="20"/>
          <w:szCs w:val="20"/>
        </w:rPr>
      </w:pPr>
      <w:r>
        <w:rPr>
          <w:rStyle w:val="default"/>
          <w:rFonts w:ascii="FrankRuehl" w:hAnsi="FrankRuehl" w:cs="FrankRuehl"/>
          <w:color w:val="000000"/>
          <w:sz w:val="26"/>
          <w:szCs w:val="26"/>
          <w:rtl/>
        </w:rPr>
        <w:t xml:space="preserve">(2)   החלפת עותק של היצירה, שהיה בידי </w:t>
      </w:r>
      <w:proofErr w:type="spellStart"/>
      <w:r>
        <w:rPr>
          <w:rStyle w:val="default"/>
          <w:rFonts w:ascii="FrankRuehl" w:hAnsi="FrankRuehl" w:cs="FrankRuehl"/>
          <w:color w:val="000000"/>
          <w:sz w:val="26"/>
          <w:szCs w:val="26"/>
          <w:rtl/>
        </w:rPr>
        <w:t>הספריה</w:t>
      </w:r>
      <w:proofErr w:type="spellEnd"/>
      <w:r>
        <w:rPr>
          <w:rStyle w:val="default"/>
          <w:rFonts w:ascii="FrankRuehl" w:hAnsi="FrankRuehl" w:cs="FrankRuehl"/>
          <w:color w:val="000000"/>
          <w:sz w:val="26"/>
          <w:szCs w:val="26"/>
          <w:rtl/>
        </w:rPr>
        <w:t xml:space="preserve"> או הארכיון ואבד, הושמד או נעשה בלתי ראוי לשימוש;</w:t>
      </w:r>
    </w:p>
    <w:p w:rsidR="00311D03" w:rsidRDefault="00311D03" w:rsidP="00311D03">
      <w:pPr>
        <w:pStyle w:val="p00"/>
        <w:bidi/>
        <w:spacing w:before="72" w:beforeAutospacing="0" w:after="0" w:afterAutospacing="0"/>
        <w:ind w:left="2461"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lastRenderedPageBreak/>
        <w:t>(3)   החלפת עותק של היצירה, שהיה באוסף הקבוע של ספריה אחרת או של ארכיון אחר, ואבד, הושמד או נעשה בלתי ראוי לשימוש.</w:t>
      </w:r>
    </w:p>
    <w:p w:rsidR="00311D03" w:rsidRDefault="00311D03" w:rsidP="00311D03">
      <w:pPr>
        <w:pStyle w:val="p00"/>
        <w:bidi/>
        <w:spacing w:before="72" w:beforeAutospacing="0" w:after="0" w:afterAutospacing="0"/>
        <w:ind w:left="1440"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 xml:space="preserve">          (ב)  העתקה של יצירה שעותק ממנה מצוי בספריה או בארכיון שנקבעו כאמור בסעיף קטן (א), בעבור אדם המבקש זאת, מותרת, ובלבד שההעתקה המבוקשת, אילו נעשתה על ידי אותו אדם, </w:t>
      </w:r>
      <w:proofErr w:type="spellStart"/>
      <w:r>
        <w:rPr>
          <w:rStyle w:val="default"/>
          <w:rFonts w:ascii="FrankRuehl" w:hAnsi="FrankRuehl" w:cs="FrankRuehl"/>
          <w:color w:val="000000"/>
          <w:sz w:val="26"/>
          <w:szCs w:val="26"/>
          <w:rtl/>
        </w:rPr>
        <w:t>היתה</w:t>
      </w:r>
      <w:proofErr w:type="spellEnd"/>
      <w:r>
        <w:rPr>
          <w:rStyle w:val="default"/>
          <w:rFonts w:ascii="FrankRuehl" w:hAnsi="FrankRuehl" w:cs="FrankRuehl"/>
          <w:color w:val="000000"/>
          <w:sz w:val="26"/>
          <w:szCs w:val="26"/>
          <w:rtl/>
        </w:rPr>
        <w:t xml:space="preserve"> מותרת לפי דין; השר רשאי לקבוע טופס בקשה מספריה או מארכיון לעניין סעיף קטן זה.</w:t>
      </w:r>
    </w:p>
    <w:p w:rsidR="00311D03" w:rsidRDefault="00311D03" w:rsidP="00311D03">
      <w:pPr>
        <w:pStyle w:val="p00"/>
        <w:bidi/>
        <w:spacing w:before="72" w:beforeAutospacing="0" w:after="0" w:afterAutospacing="0"/>
        <w:ind w:left="1440"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          (ג)   העתקה של יצירה על ידי גופים מסוג שקבע השר, לצורכי שימור, מותרת; השר רשאי לקבוע סוגי יצירות שסעיף קטן זה יחול עליהם, תנאים לביצוע העתקה וכן תנאים למתן גישה לציבור לעותקים שנעשו לפי סעיף קטן זה.</w:t>
      </w:r>
    </w:p>
    <w:p w:rsidR="00311D03" w:rsidRDefault="00311D03" w:rsidP="00311D03">
      <w:pPr>
        <w:pStyle w:val="p00"/>
        <w:numPr>
          <w:ilvl w:val="0"/>
          <w:numId w:val="1"/>
        </w:numPr>
        <w:bidi/>
        <w:spacing w:before="72" w:beforeAutospacing="0" w:after="0" w:afterAutospacing="0"/>
        <w:ind w:right="1134"/>
        <w:rPr>
          <w:rStyle w:val="big-number"/>
          <w:rFonts w:ascii="David" w:hAnsi="David" w:cs="David"/>
          <w:sz w:val="24"/>
          <w:szCs w:val="24"/>
          <w:rtl/>
        </w:rPr>
      </w:pPr>
      <w:bookmarkStart w:id="0" w:name="Seif31"/>
      <w:bookmarkEnd w:id="0"/>
      <w:r>
        <w:rPr>
          <w:rStyle w:val="big-number"/>
          <w:rFonts w:ascii="David" w:eastAsia="Times New Roman" w:hAnsi="David" w:cs="David"/>
          <w:sz w:val="24"/>
          <w:szCs w:val="24"/>
          <w:rtl/>
        </w:rPr>
        <w:t xml:space="preserve">בנוסף, קיים סייג בנוגע לתביעות לפיצויים ללא הוכחת נזק </w:t>
      </w:r>
      <w:proofErr w:type="spellStart"/>
      <w:r>
        <w:rPr>
          <w:rStyle w:val="big-number"/>
          <w:rFonts w:ascii="David" w:eastAsia="Times New Roman" w:hAnsi="David" w:cs="David"/>
          <w:sz w:val="24"/>
          <w:szCs w:val="24"/>
          <w:rtl/>
        </w:rPr>
        <w:t>לענין</w:t>
      </w:r>
      <w:proofErr w:type="spellEnd"/>
      <w:r>
        <w:rPr>
          <w:rStyle w:val="big-number"/>
          <w:rFonts w:ascii="David" w:eastAsia="Times New Roman" w:hAnsi="David" w:cs="David"/>
          <w:sz w:val="24"/>
          <w:szCs w:val="24"/>
          <w:rtl/>
        </w:rPr>
        <w:t xml:space="preserve"> ארכיונים, אשר לדעתי ולאור הוראות ההסכם שהוצג לי יכולים גם כן להוות הגנה על הקיבוץ, ראי סעיף 56א-</w:t>
      </w:r>
    </w:p>
    <w:p w:rsidR="00311D03" w:rsidRDefault="00311D03" w:rsidP="00311D03">
      <w:pPr>
        <w:pStyle w:val="p00"/>
        <w:bidi/>
        <w:spacing w:before="72" w:beforeAutospacing="0" w:after="0" w:afterAutospacing="0"/>
        <w:ind w:left="1440" w:right="1134"/>
        <w:rPr>
          <w:rFonts w:ascii="Times New Roman" w:hAnsi="Times New Roman" w:cs="Times New Roman"/>
          <w:color w:val="000000"/>
          <w:sz w:val="20"/>
          <w:szCs w:val="20"/>
          <w:rtl/>
        </w:rPr>
      </w:pPr>
      <w:r>
        <w:rPr>
          <w:rStyle w:val="big-number"/>
          <w:rFonts w:ascii="Times New Roman" w:hAnsi="Times New Roman" w:cs="Times New Roman"/>
          <w:b/>
          <w:bCs/>
          <w:color w:val="008000"/>
          <w:sz w:val="27"/>
          <w:szCs w:val="27"/>
          <w:rtl/>
        </w:rPr>
        <w:t>סייגים לתחולה לעניין פיצויים בלא הוכחת נזק (תיקון מס' 5) תשע"ט-2019</w:t>
      </w:r>
    </w:p>
    <w:p w:rsidR="00311D03" w:rsidRDefault="00311D03" w:rsidP="00311D03">
      <w:pPr>
        <w:pStyle w:val="p00"/>
        <w:bidi/>
        <w:spacing w:before="72" w:beforeAutospacing="0" w:after="0" w:afterAutospacing="0"/>
        <w:ind w:left="1440" w:right="1134"/>
        <w:jc w:val="both"/>
        <w:rPr>
          <w:rFonts w:ascii="Times New Roman" w:hAnsi="Times New Roman" w:cs="Times New Roman"/>
          <w:color w:val="000000"/>
          <w:sz w:val="20"/>
          <w:szCs w:val="20"/>
          <w:rtl/>
        </w:rPr>
      </w:pPr>
      <w:r>
        <w:rPr>
          <w:rStyle w:val="big-number"/>
          <w:rFonts w:ascii="Miriam" w:hAnsi="Miriam" w:cs="Miriam"/>
          <w:color w:val="000000"/>
          <w:sz w:val="32"/>
          <w:szCs w:val="32"/>
          <w:rtl/>
        </w:rPr>
        <w:t>56</w:t>
      </w:r>
      <w:r>
        <w:rPr>
          <w:rStyle w:val="big-number"/>
          <w:rFonts w:ascii="FrankRuehl" w:hAnsi="FrankRuehl" w:cs="FrankRuehl"/>
          <w:color w:val="000000"/>
          <w:sz w:val="26"/>
          <w:szCs w:val="26"/>
          <w:rtl/>
        </w:rPr>
        <w:t>א.  (א)  </w:t>
      </w:r>
      <w:r>
        <w:rPr>
          <w:rStyle w:val="default"/>
          <w:rFonts w:ascii="FrankRuehl" w:hAnsi="FrankRuehl" w:cs="FrankRuehl"/>
          <w:color w:val="000000"/>
          <w:sz w:val="26"/>
          <w:szCs w:val="26"/>
          <w:rtl/>
        </w:rPr>
        <w:t>הוראות סעיף 56 לא יחולו על אדם שהעמיד לרשות הציבור ברשת האינטרנט יצירה אמנותית שהועמדה קודם לכן לרשות הציבור או שהרשה לאחר להעמיד לרשות הציבור יצירה כאמור, ובלבד שהתקיימו כל אלה:</w:t>
      </w:r>
    </w:p>
    <w:p w:rsidR="00311D03" w:rsidRDefault="00311D03" w:rsidP="00311D03">
      <w:pPr>
        <w:pStyle w:val="p00"/>
        <w:bidi/>
        <w:spacing w:before="72" w:beforeAutospacing="0" w:after="0" w:afterAutospacing="0"/>
        <w:ind w:left="2461"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(1)   המפר חדל מההפרה בתוך זמן סביר לאחר שקיבל הודעה מבעל הזכות או מי מטעמו בדבר ההפרה;</w:t>
      </w:r>
    </w:p>
    <w:p w:rsidR="00311D03" w:rsidRDefault="00311D03" w:rsidP="00311D03">
      <w:pPr>
        <w:pStyle w:val="p00"/>
        <w:bidi/>
        <w:spacing w:before="72" w:beforeAutospacing="0" w:after="0" w:afterAutospacing="0"/>
        <w:ind w:left="2461" w:right="1134"/>
        <w:jc w:val="both"/>
        <w:rPr>
          <w:rFonts w:ascii="Times New Roman" w:hAnsi="Times New Roman" w:cs="Times New Roman"/>
          <w:color w:val="000000"/>
          <w:sz w:val="20"/>
          <w:szCs w:val="20"/>
        </w:rPr>
      </w:pPr>
      <w:r>
        <w:rPr>
          <w:rStyle w:val="default"/>
          <w:rFonts w:ascii="FrankRuehl" w:hAnsi="FrankRuehl" w:cs="FrankRuehl"/>
          <w:color w:val="000000"/>
          <w:sz w:val="26"/>
          <w:szCs w:val="26"/>
          <w:rtl/>
        </w:rPr>
        <w:t>(2)   היצירה לא הועתקה מקטלוג, שמטרתו מכירה של היצירות הכלולות בו או מתן רישיון לשימוש ביצירות הכלולות בו, שהועמד לרשות הציבור ברשת האינטרנט;</w:t>
      </w:r>
    </w:p>
    <w:p w:rsidR="00311D03" w:rsidRDefault="00311D03" w:rsidP="00311D03">
      <w:pPr>
        <w:pStyle w:val="p00"/>
        <w:bidi/>
        <w:spacing w:before="72" w:beforeAutospacing="0" w:after="0" w:afterAutospacing="0"/>
        <w:ind w:left="2461"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(3)   התקיים אחד מאלה:</w:t>
      </w:r>
    </w:p>
    <w:p w:rsidR="00311D03" w:rsidRDefault="00311D03" w:rsidP="00311D03">
      <w:pPr>
        <w:pStyle w:val="p00"/>
        <w:bidi/>
        <w:spacing w:before="72" w:beforeAutospacing="0" w:after="0" w:afterAutospacing="0"/>
        <w:ind w:left="2914"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 xml:space="preserve">(א)   הפרת הזכות כאמור לא </w:t>
      </w:r>
      <w:proofErr w:type="spellStart"/>
      <w:r>
        <w:rPr>
          <w:rStyle w:val="default"/>
          <w:rFonts w:ascii="FrankRuehl" w:hAnsi="FrankRuehl" w:cs="FrankRuehl"/>
          <w:color w:val="000000"/>
          <w:sz w:val="26"/>
          <w:szCs w:val="26"/>
          <w:rtl/>
        </w:rPr>
        <w:t>היתה</w:t>
      </w:r>
      <w:proofErr w:type="spellEnd"/>
      <w:r>
        <w:rPr>
          <w:rStyle w:val="default"/>
          <w:rFonts w:ascii="FrankRuehl" w:hAnsi="FrankRuehl" w:cs="FrankRuehl"/>
          <w:color w:val="000000"/>
          <w:sz w:val="26"/>
          <w:szCs w:val="26"/>
          <w:rtl/>
        </w:rPr>
        <w:t xml:space="preserve"> למטרה מסחרית;</w:t>
      </w:r>
    </w:p>
    <w:p w:rsidR="00311D03" w:rsidRDefault="00311D03" w:rsidP="00311D03">
      <w:pPr>
        <w:pStyle w:val="p00"/>
        <w:bidi/>
        <w:spacing w:before="72" w:beforeAutospacing="0" w:after="0" w:afterAutospacing="0"/>
        <w:ind w:left="2914"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 xml:space="preserve">(ב)   המפר הוא עמותה כמשמעותה בחוק העמותות, התש"ם-1980, מוסד ללא כוונת רווח כהגדרתו בחוק מס ערך מוסף, התשל"ו-1975, חברה לתועלת הציבור כמשמעותה בחוק החברות, התשנ"ט-1999, הקדש כמשמעותו בחוק הנאמנות, התשל"ט-1979, ואגודה </w:t>
      </w:r>
      <w:proofErr w:type="spellStart"/>
      <w:r>
        <w:rPr>
          <w:rStyle w:val="default"/>
          <w:rFonts w:ascii="FrankRuehl" w:hAnsi="FrankRuehl" w:cs="FrankRuehl"/>
          <w:color w:val="000000"/>
          <w:sz w:val="26"/>
          <w:szCs w:val="26"/>
          <w:rtl/>
        </w:rPr>
        <w:t>עותמנית</w:t>
      </w:r>
      <w:proofErr w:type="spellEnd"/>
      <w:r>
        <w:rPr>
          <w:rStyle w:val="default"/>
          <w:rFonts w:ascii="FrankRuehl" w:hAnsi="FrankRuehl" w:cs="FrankRuehl"/>
          <w:color w:val="000000"/>
          <w:sz w:val="26"/>
          <w:szCs w:val="26"/>
          <w:rtl/>
        </w:rPr>
        <w:t xml:space="preserve"> כמשמעותה בחוק העותומני על האגודות, ובלבד שמחזורם אינו עולה על 1,200,000 שקלים חדשים; לעניין זה, "מחזור" – סכום התקבולים מכל מקור וסוג שהתקבלו בשנה האחרונה שחלפה, ולעניין הקדש – סכום ההוצאות השנתי לכל מקור או סוג שהוצאו בשנה האחרונה שחלפה.</w:t>
      </w:r>
    </w:p>
    <w:p w:rsidR="00311D03" w:rsidRDefault="00311D03" w:rsidP="00311D03">
      <w:pPr>
        <w:pStyle w:val="p00"/>
        <w:bidi/>
        <w:spacing w:before="72" w:beforeAutospacing="0" w:after="0" w:afterAutospacing="0"/>
        <w:ind w:left="1440"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          (ב)  על אף האמור בסעיף קטן (א), הוראות אותו סעיף קטן לא יחולו על מוסד ממוסדות המדינה, רשות מקומית, חברה ממשלתית או חברה בת ממשלתית כהגדרתן בחוק החברות הממשלתיות, התשל"ה-1975, תאגיד שהוקם לפי חוק או על גופים המנויים בסעיף קטן (א)(3)(ב) שמחזורם עולה על הסכום האמור באותו סעיף קטן.</w:t>
      </w:r>
    </w:p>
    <w:p w:rsidR="00311D03" w:rsidRDefault="00311D03" w:rsidP="00311D03">
      <w:pPr>
        <w:pStyle w:val="p00"/>
        <w:bidi/>
        <w:spacing w:before="72" w:beforeAutospacing="0" w:after="0" w:afterAutospacing="0"/>
        <w:ind w:left="1440"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          (ג)   הוראות סעיף 56 לא יחולו על אלה, ובלבד שהשימוש נעשה במסגרת פעילותם הרגילה, לשם מימוש מטרותיהם ולא למטרה מסחרית:</w:t>
      </w:r>
    </w:p>
    <w:p w:rsidR="00311D03" w:rsidRDefault="00311D03" w:rsidP="00311D03">
      <w:pPr>
        <w:pStyle w:val="p00"/>
        <w:bidi/>
        <w:spacing w:before="72" w:beforeAutospacing="0" w:after="0" w:afterAutospacing="0"/>
        <w:ind w:left="2461"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(1)   מוסדות חינוך מסוג שקבע השר לפי סעיף 29;</w:t>
      </w:r>
    </w:p>
    <w:p w:rsidR="00311D03" w:rsidRDefault="00311D03" w:rsidP="00311D03">
      <w:pPr>
        <w:pStyle w:val="p00"/>
        <w:bidi/>
        <w:spacing w:before="72" w:beforeAutospacing="0" w:after="0" w:afterAutospacing="0"/>
        <w:ind w:left="2461"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lastRenderedPageBreak/>
        <w:t>(2)   ספריות, ארכיונים וגופים אחרים מסוג שקבע השר לפי סעיף 30(א) או (ג);</w:t>
      </w:r>
    </w:p>
    <w:p w:rsidR="00311D03" w:rsidRDefault="00311D03" w:rsidP="00311D03">
      <w:pPr>
        <w:pStyle w:val="p00"/>
        <w:bidi/>
        <w:spacing w:before="72" w:beforeAutospacing="0" w:after="0" w:afterAutospacing="0"/>
        <w:ind w:left="2461"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(3)   מוזאונים מסוג שקבע השר;</w:t>
      </w:r>
    </w:p>
    <w:p w:rsidR="00311D03" w:rsidRDefault="00311D03" w:rsidP="00311D03">
      <w:pPr>
        <w:pStyle w:val="p00"/>
        <w:bidi/>
        <w:spacing w:before="72" w:beforeAutospacing="0" w:after="0" w:afterAutospacing="0"/>
        <w:ind w:left="2461" w:right="1134"/>
        <w:jc w:val="both"/>
        <w:rPr>
          <w:rFonts w:ascii="Times New Roman" w:hAnsi="Times New Roman" w:cs="Times New Roman"/>
          <w:color w:val="000000"/>
          <w:sz w:val="20"/>
          <w:szCs w:val="20"/>
          <w:rtl/>
        </w:rPr>
      </w:pPr>
      <w:r>
        <w:rPr>
          <w:rStyle w:val="default"/>
          <w:rFonts w:ascii="FrankRuehl" w:hAnsi="FrankRuehl" w:cs="FrankRuehl"/>
          <w:color w:val="000000"/>
          <w:sz w:val="26"/>
          <w:szCs w:val="26"/>
          <w:rtl/>
        </w:rPr>
        <w:t>(4)   גופים נוספים כגון אלה המנויים בפסקאות (1) עד (3) שקבע השר באישור ועדת הכלכלה של הכנסת.</w:t>
      </w:r>
    </w:p>
    <w:p w:rsidR="00311D03" w:rsidRDefault="00311D03" w:rsidP="00311D03">
      <w:pPr>
        <w:ind w:left="1440"/>
        <w:rPr>
          <w:rFonts w:ascii="Arial" w:hAnsi="Arial" w:cs="Arial"/>
          <w:rtl/>
        </w:rPr>
      </w:pPr>
    </w:p>
    <w:p w:rsidR="00311D03" w:rsidRDefault="00311D03" w:rsidP="00311D03">
      <w:pPr>
        <w:pStyle w:val="p00"/>
        <w:numPr>
          <w:ilvl w:val="0"/>
          <w:numId w:val="1"/>
        </w:numPr>
        <w:bidi/>
        <w:spacing w:before="72" w:beforeAutospacing="0" w:after="0" w:afterAutospacing="0"/>
        <w:ind w:right="1134"/>
        <w:rPr>
          <w:rStyle w:val="big-number"/>
          <w:rFonts w:ascii="David" w:hAnsi="David" w:cs="David"/>
          <w:sz w:val="24"/>
          <w:szCs w:val="24"/>
          <w:rtl/>
        </w:rPr>
      </w:pPr>
      <w:r>
        <w:rPr>
          <w:rStyle w:val="big-number"/>
          <w:rFonts w:ascii="David" w:eastAsia="Times New Roman" w:hAnsi="David" w:cs="David"/>
          <w:sz w:val="24"/>
          <w:szCs w:val="24"/>
          <w:rtl/>
        </w:rPr>
        <w:t xml:space="preserve">מעבר כל האמור לעיל חשוב לזכור, כי כל היצירות שצורפו להסכם צולמו ע"י חברים (ככל הנראה) בתקופת הקיבוץ השיתופי ולכן זכויות היוצרים ביצירות, להבדיל מהזכות המוסרית, שייכת לקיבוץ ומאחר והיצירות הופקדו בארכיון הקיבוץ, הרי </w:t>
      </w:r>
      <w:proofErr w:type="spellStart"/>
      <w:r>
        <w:rPr>
          <w:rStyle w:val="big-number"/>
          <w:rFonts w:ascii="David" w:eastAsia="Times New Roman" w:hAnsi="David" w:cs="David"/>
          <w:sz w:val="24"/>
          <w:szCs w:val="24"/>
          <w:rtl/>
        </w:rPr>
        <w:t>שהיתה</w:t>
      </w:r>
      <w:proofErr w:type="spellEnd"/>
      <w:r>
        <w:rPr>
          <w:rStyle w:val="big-number"/>
          <w:rFonts w:ascii="David" w:eastAsia="Times New Roman" w:hAnsi="David" w:cs="David"/>
          <w:sz w:val="24"/>
          <w:szCs w:val="24"/>
          <w:rtl/>
        </w:rPr>
        <w:t xml:space="preserve"> מעין הסכמה ע"י המפקיד כי הארכיון יוכל לעשות בהם שימוש.</w:t>
      </w:r>
    </w:p>
    <w:p w:rsidR="00311D03" w:rsidRDefault="00311D03" w:rsidP="00311D03">
      <w:pPr>
        <w:pStyle w:val="p00"/>
        <w:numPr>
          <w:ilvl w:val="0"/>
          <w:numId w:val="1"/>
        </w:numPr>
        <w:bidi/>
        <w:spacing w:before="72" w:beforeAutospacing="0" w:after="0" w:afterAutospacing="0"/>
        <w:ind w:right="1134"/>
        <w:rPr>
          <w:rStyle w:val="big-number"/>
          <w:rFonts w:ascii="David" w:hAnsi="David" w:cs="David"/>
          <w:sz w:val="24"/>
          <w:szCs w:val="24"/>
          <w:rtl/>
        </w:rPr>
      </w:pPr>
      <w:r>
        <w:rPr>
          <w:rStyle w:val="big-number"/>
          <w:rFonts w:ascii="David" w:eastAsia="Times New Roman" w:hAnsi="David" w:cs="David"/>
          <w:sz w:val="24"/>
          <w:szCs w:val="24"/>
          <w:rtl/>
        </w:rPr>
        <w:t xml:space="preserve">לסיכום, אני ממליצה, אם ניתן להוסיף לטבלה שצורפה להסכם, כי זכות היוצרים שייכת לקיבוץ וככל הנראה הסרט צולם ע"י החבר _____ ז"ל (לצרכי הזכות המוסרית). בנוסף, לקבל התחייבות של ארכיון </w:t>
      </w:r>
      <w:proofErr w:type="spellStart"/>
      <w:r>
        <w:rPr>
          <w:rStyle w:val="big-number"/>
          <w:rFonts w:ascii="David" w:eastAsia="Times New Roman" w:hAnsi="David" w:cs="David"/>
          <w:sz w:val="24"/>
          <w:szCs w:val="24"/>
          <w:rtl/>
        </w:rPr>
        <w:t>הסימנטק</w:t>
      </w:r>
      <w:proofErr w:type="spellEnd"/>
      <w:r>
        <w:rPr>
          <w:rStyle w:val="big-number"/>
          <w:rFonts w:ascii="David" w:eastAsia="Times New Roman" w:hAnsi="David" w:cs="David"/>
          <w:sz w:val="24"/>
          <w:szCs w:val="24"/>
          <w:rtl/>
        </w:rPr>
        <w:t>, כי אם תתקבל פניה בנושא אז הם מחויבים, לפי דרישת הקיבוץ, להסיר את הסרט הרלבנטי.</w:t>
      </w:r>
    </w:p>
    <w:p w:rsidR="00311D03" w:rsidRDefault="00311D03" w:rsidP="00311D03">
      <w:pPr>
        <w:pStyle w:val="p00"/>
        <w:numPr>
          <w:ilvl w:val="0"/>
          <w:numId w:val="1"/>
        </w:numPr>
        <w:bidi/>
        <w:spacing w:before="72" w:beforeAutospacing="0" w:after="0" w:afterAutospacing="0"/>
        <w:ind w:right="1134"/>
        <w:rPr>
          <w:rStyle w:val="big-number"/>
          <w:rFonts w:ascii="David" w:hAnsi="David" w:cs="David"/>
          <w:sz w:val="24"/>
          <w:szCs w:val="24"/>
        </w:rPr>
      </w:pPr>
      <w:r>
        <w:rPr>
          <w:rStyle w:val="big-number"/>
          <w:rFonts w:ascii="David" w:eastAsia="Times New Roman" w:hAnsi="David" w:cs="David"/>
          <w:sz w:val="24"/>
          <w:szCs w:val="24"/>
          <w:rtl/>
        </w:rPr>
        <w:t>שיהיה בהצלחה.</w:t>
      </w:r>
    </w:p>
    <w:p w:rsidR="00311D03" w:rsidRDefault="00311D03" w:rsidP="00311D03">
      <w:pPr>
        <w:pStyle w:val="p00"/>
        <w:bidi/>
        <w:spacing w:before="72" w:beforeAutospacing="0" w:after="0" w:afterAutospacing="0"/>
        <w:ind w:right="1134"/>
        <w:rPr>
          <w:rStyle w:val="big-number"/>
          <w:rFonts w:ascii="David" w:hAnsi="David" w:cs="David"/>
          <w:sz w:val="24"/>
          <w:szCs w:val="24"/>
        </w:rPr>
      </w:pPr>
      <w:r>
        <w:rPr>
          <w:rStyle w:val="big-number"/>
          <w:rFonts w:ascii="David" w:hAnsi="David" w:cs="David"/>
          <w:sz w:val="24"/>
          <w:szCs w:val="24"/>
          <w:rtl/>
        </w:rPr>
        <w:t>אסתר</w:t>
      </w:r>
    </w:p>
    <w:p w:rsidR="00311D03" w:rsidRDefault="00311D03" w:rsidP="00311D03">
      <w:pPr>
        <w:pStyle w:val="p00"/>
        <w:bidi/>
        <w:spacing w:before="72" w:beforeAutospacing="0" w:after="0" w:afterAutospacing="0"/>
        <w:ind w:left="360" w:right="1134"/>
        <w:rPr>
          <w:rStyle w:val="big-number"/>
          <w:rFonts w:ascii="David" w:hAnsi="David" w:cs="David"/>
          <w:sz w:val="24"/>
          <w:szCs w:val="24"/>
        </w:rPr>
      </w:pPr>
    </w:p>
    <w:p w:rsidR="00311D03" w:rsidRDefault="00311D03" w:rsidP="00311D03">
      <w:r>
        <w:rPr>
          <w:noProof/>
        </w:rPr>
        <w:drawing>
          <wp:inline distT="0" distB="0" distL="0" distR="0">
            <wp:extent cx="4594860" cy="1874520"/>
            <wp:effectExtent l="0" t="0" r="0" b="0"/>
            <wp:docPr id="1" name="תמונה 1" descr="cid:image001.png@01D8176E.E3B2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id:image001.png@01D8176E.E3B2D8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594860" cy="1874520"/>
                    </a:xfrm>
                    <a:prstGeom prst="rect">
                      <a:avLst/>
                    </a:prstGeom>
                    <a:noFill/>
                    <a:ln>
                      <a:noFill/>
                    </a:ln>
                  </pic:spPr>
                </pic:pic>
              </a:graphicData>
            </a:graphic>
          </wp:inline>
        </w:drawing>
      </w:r>
    </w:p>
    <w:p w:rsidR="00311D03" w:rsidRDefault="00311D03" w:rsidP="00311D03"/>
    <w:p w:rsidR="00106377" w:rsidRDefault="00311D03" w:rsidP="00311D03">
      <w:pPr>
        <w:rPr>
          <w:rFonts w:hint="cs"/>
        </w:rPr>
      </w:pPr>
      <w:r>
        <w:rPr>
          <w:b/>
          <w:bCs/>
        </w:rPr>
        <w:t>From:</w:t>
      </w:r>
      <w:r>
        <w:t xml:space="preserve"> </w:t>
      </w:r>
      <w:r>
        <w:rPr>
          <w:rFonts w:hint="cs"/>
          <w:rtl/>
        </w:rPr>
        <w:t>ארכיון כפר מנחם</w:t>
      </w:r>
      <w:r>
        <w:rPr>
          <w:rtl/>
        </w:rPr>
        <w:t xml:space="preserve"> </w:t>
      </w:r>
      <w:r>
        <w:t>&lt;</w:t>
      </w:r>
      <w:hyperlink r:id="rId7" w:history="1">
        <w:r>
          <w:rPr>
            <w:rStyle w:val="Hyperlink"/>
          </w:rPr>
          <w:t>arciv@kfm.org.il</w:t>
        </w:r>
      </w:hyperlink>
      <w:r>
        <w:t xml:space="preserve">&gt; </w:t>
      </w:r>
      <w:r>
        <w:br/>
      </w:r>
      <w:r>
        <w:rPr>
          <w:b/>
          <w:bCs/>
        </w:rPr>
        <w:t>Sent:</w:t>
      </w:r>
      <w:r>
        <w:t xml:space="preserve"> Tuesday, February 1, 2022 12:13 PM</w:t>
      </w:r>
      <w:r>
        <w:br/>
      </w:r>
      <w:bookmarkStart w:id="1" w:name="_GoBack"/>
      <w:bookmarkEnd w:id="1"/>
    </w:p>
    <w:sectPr w:rsidR="00106377" w:rsidSect="00B847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9292D"/>
    <w:multiLevelType w:val="hybridMultilevel"/>
    <w:tmpl w:val="85F20FB8"/>
    <w:lvl w:ilvl="0" w:tplc="A26A396E">
      <w:start w:val="1"/>
      <w:numFmt w:val="decimal"/>
      <w:lvlText w:val="%1."/>
      <w:lvlJc w:val="left"/>
      <w:pPr>
        <w:ind w:left="720" w:hanging="360"/>
      </w:pPr>
      <w:rPr>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03"/>
    <w:rsid w:val="00106377"/>
    <w:rsid w:val="00311D03"/>
    <w:rsid w:val="00B847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DC6DE-1045-4D17-BC40-05652508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D03"/>
    <w:pPr>
      <w:bidi/>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11D03"/>
    <w:rPr>
      <w:color w:val="0563C1"/>
      <w:u w:val="single"/>
    </w:rPr>
  </w:style>
  <w:style w:type="paragraph" w:customStyle="1" w:styleId="p00">
    <w:name w:val="p00"/>
    <w:basedOn w:val="a"/>
    <w:rsid w:val="00311D03"/>
    <w:pPr>
      <w:bidi w:val="0"/>
      <w:spacing w:before="100" w:beforeAutospacing="1" w:after="100" w:afterAutospacing="1"/>
    </w:pPr>
  </w:style>
  <w:style w:type="character" w:customStyle="1" w:styleId="big-number">
    <w:name w:val="big-number"/>
    <w:basedOn w:val="a0"/>
    <w:rsid w:val="00311D03"/>
  </w:style>
  <w:style w:type="character" w:customStyle="1" w:styleId="default">
    <w:name w:val="default"/>
    <w:basedOn w:val="a0"/>
    <w:rsid w:val="00311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civ@kfm.org.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8176E.E3B2D8E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864</Words>
  <Characters>4325</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2022-02-23T09:17:00Z</dcterms:created>
  <dcterms:modified xsi:type="dcterms:W3CDTF">2022-02-23T09:19:00Z</dcterms:modified>
</cp:coreProperties>
</file>